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E2" w:rsidRDefault="003F59E2" w:rsidP="000E3DA4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FC2AAD">
        <w:rPr>
          <w:rFonts w:eastAsia="Calibri"/>
          <w:b/>
          <w:sz w:val="28"/>
          <w:szCs w:val="28"/>
        </w:rPr>
        <w:t>9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</w:t>
      </w:r>
      <w:proofErr w:type="spellStart"/>
      <w:r w:rsidR="00812269" w:rsidRPr="0000231C">
        <w:rPr>
          <w:rFonts w:eastAsia="Calibri"/>
          <w:b/>
          <w:szCs w:val="24"/>
        </w:rPr>
        <w:t>zam</w:t>
      </w:r>
      <w:proofErr w:type="spellEnd"/>
      <w:r w:rsidR="00812269" w:rsidRPr="0000231C">
        <w:rPr>
          <w:rFonts w:eastAsia="Calibri"/>
          <w:b/>
          <w:szCs w:val="24"/>
        </w:rPr>
        <w:t>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FD3EAE">
      <w:pPr>
        <w:spacing w:after="0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</w:t>
      </w:r>
      <w:r w:rsidR="00C74322" w:rsidRPr="000637AB">
        <w:rPr>
          <w:szCs w:val="24"/>
        </w:rPr>
        <w:t>(</w:t>
      </w:r>
      <w:r w:rsidR="000637AB" w:rsidRPr="000637AB">
        <w:rPr>
          <w:bCs/>
        </w:rPr>
        <w:t xml:space="preserve">tj.: Dz. U. z 2018 r., poz. 1265 </w:t>
      </w:r>
      <w:r w:rsidR="00FC2AAD">
        <w:rPr>
          <w:bCs/>
        </w:rPr>
        <w:t>z późn. zm.</w:t>
      </w:r>
      <w:r w:rsidR="000637AB" w:rsidRPr="000637AB">
        <w:rPr>
          <w:bCs/>
        </w:rPr>
        <w:t>)</w:t>
      </w:r>
      <w:r w:rsidR="000637AB">
        <w:rPr>
          <w:b/>
          <w:bCs/>
          <w:i/>
        </w:rPr>
        <w:t xml:space="preserve"> </w:t>
      </w:r>
      <w:r w:rsidRPr="0000231C">
        <w:rPr>
          <w:szCs w:val="24"/>
        </w:rPr>
        <w:t>na każde dziecko lub osobę zależną, na opiekę którego poniesiono koszty opieki.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</w:t>
      </w:r>
      <w:r w:rsidR="001E2AE8">
        <w:rPr>
          <w:szCs w:val="24"/>
        </w:rPr>
        <w:t>entami i wynosi nie więcej niż 2</w:t>
      </w:r>
      <w:r w:rsidRPr="0000231C">
        <w:rPr>
          <w:szCs w:val="24"/>
        </w:rPr>
        <w:t>00 zł na każde dziecko (osobę zależną) i nie więcej niż na przedstawionym zaświadczeniu (rachunku, fakturze).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FD3EAE" w:rsidRDefault="00FD3EAE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FD3EAE">
      <w:pPr>
        <w:spacing w:after="0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41BBE" w:rsidRPr="0000231C" w:rsidRDefault="00941BBE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</w:t>
      </w:r>
      <w:r w:rsidR="000637AB" w:rsidRPr="000637AB">
        <w:rPr>
          <w:bCs/>
        </w:rPr>
        <w:t xml:space="preserve">tj.: Dz. U. z 2018 r., poz. 1265 </w:t>
      </w:r>
      <w:r w:rsidR="00FC2AAD">
        <w:rPr>
          <w:bCs/>
        </w:rPr>
        <w:t>z późn. zm.</w:t>
      </w:r>
      <w:bookmarkStart w:id="0" w:name="_GoBack"/>
      <w:bookmarkEnd w:id="0"/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92CBE">
        <w:rPr>
          <w:bCs/>
          <w:szCs w:val="24"/>
        </w:rPr>
        <w:t>2018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92CBE">
        <w:rPr>
          <w:bCs/>
          <w:szCs w:val="24"/>
        </w:rPr>
        <w:t>1025</w:t>
      </w:r>
      <w:r w:rsidRPr="0000231C">
        <w:rPr>
          <w:szCs w:val="24"/>
        </w:rPr>
        <w:t xml:space="preserve"> z późn. zm.) oraz ustawy z dnia 27 sierpnia 2009 r. o finansach publicznych (tj.: Dz. U. </w:t>
      </w:r>
      <w:r w:rsidR="00A423A0">
        <w:rPr>
          <w:szCs w:val="24"/>
        </w:rPr>
        <w:t>z 2017 r., poz. 2077</w:t>
      </w:r>
      <w:r w:rsidR="00B05386">
        <w:rPr>
          <w:szCs w:val="24"/>
        </w:rPr>
        <w:t xml:space="preserve"> z późn. zm.</w:t>
      </w:r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E3AB2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6E3AB2" w:rsidRPr="00764601" w:rsidRDefault="006E3AB2" w:rsidP="006E3AB2">
      <w:pPr>
        <w:pStyle w:val="Tekstpodstawowy"/>
        <w:spacing w:after="0"/>
        <w:ind w:firstLine="708"/>
        <w:jc w:val="both"/>
        <w:rPr>
          <w:b/>
          <w:szCs w:val="24"/>
        </w:rPr>
      </w:pPr>
      <w:r w:rsidRPr="00764601">
        <w:rPr>
          <w:b/>
          <w:szCs w:val="24"/>
        </w:rPr>
        <w:t xml:space="preserve">Wyrażam zgodę na przetwarzanie moich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 </w:t>
      </w:r>
    </w:p>
    <w:p w:rsidR="006E3AB2" w:rsidRPr="0000231C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293151" w:rsidRPr="003F59E2" w:rsidRDefault="003F7F4B" w:rsidP="002931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sectPr w:rsidR="00293151" w:rsidRPr="003F59E2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FF" w:rsidRDefault="003D37FF" w:rsidP="000E3DA4">
      <w:pPr>
        <w:spacing w:after="0" w:line="240" w:lineRule="auto"/>
      </w:pPr>
      <w:r>
        <w:separator/>
      </w:r>
    </w:p>
  </w:endnote>
  <w:endnote w:type="continuationSeparator" w:id="0">
    <w:p w:rsidR="003D37FF" w:rsidRDefault="003D37FF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FF" w:rsidRDefault="003D37FF" w:rsidP="000E3DA4">
      <w:pPr>
        <w:spacing w:after="0" w:line="240" w:lineRule="auto"/>
      </w:pPr>
      <w:r>
        <w:separator/>
      </w:r>
    </w:p>
  </w:footnote>
  <w:footnote w:type="continuationSeparator" w:id="0">
    <w:p w:rsidR="003D37FF" w:rsidRDefault="003D37FF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637AB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E2AE8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37FF"/>
    <w:rsid w:val="003D6121"/>
    <w:rsid w:val="003F59E2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4E52C1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5E228D"/>
    <w:rsid w:val="005E59A1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C6B1B"/>
    <w:rsid w:val="006D0DF8"/>
    <w:rsid w:val="006D6573"/>
    <w:rsid w:val="006E3AB2"/>
    <w:rsid w:val="006F1A23"/>
    <w:rsid w:val="00706BE4"/>
    <w:rsid w:val="00711CA5"/>
    <w:rsid w:val="00712A20"/>
    <w:rsid w:val="00720DC9"/>
    <w:rsid w:val="00721C1E"/>
    <w:rsid w:val="00730558"/>
    <w:rsid w:val="00742000"/>
    <w:rsid w:val="007529AF"/>
    <w:rsid w:val="00764601"/>
    <w:rsid w:val="00771709"/>
    <w:rsid w:val="0078015C"/>
    <w:rsid w:val="0078653D"/>
    <w:rsid w:val="007C25DE"/>
    <w:rsid w:val="007C713B"/>
    <w:rsid w:val="007D01F0"/>
    <w:rsid w:val="007E0E23"/>
    <w:rsid w:val="007F543D"/>
    <w:rsid w:val="00804F30"/>
    <w:rsid w:val="00810A9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41BBE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05386"/>
    <w:rsid w:val="00B13943"/>
    <w:rsid w:val="00B37D2A"/>
    <w:rsid w:val="00B536C7"/>
    <w:rsid w:val="00BA073A"/>
    <w:rsid w:val="00BC7A7F"/>
    <w:rsid w:val="00BD2301"/>
    <w:rsid w:val="00BD3196"/>
    <w:rsid w:val="00BE7FFC"/>
    <w:rsid w:val="00BF5A68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75ED6"/>
    <w:rsid w:val="00E81E3B"/>
    <w:rsid w:val="00E82834"/>
    <w:rsid w:val="00E841DA"/>
    <w:rsid w:val="00E92CBE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C2AAD"/>
    <w:rsid w:val="00FD3EAE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53F5-ED2D-4A2B-831E-DEEDE8E0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2</cp:revision>
  <cp:lastPrinted>2018-01-24T13:39:00Z</cp:lastPrinted>
  <dcterms:created xsi:type="dcterms:W3CDTF">2019-04-05T07:57:00Z</dcterms:created>
  <dcterms:modified xsi:type="dcterms:W3CDTF">2019-04-05T07:57:00Z</dcterms:modified>
</cp:coreProperties>
</file>