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1F3" w:rsidRPr="00554A8F" w:rsidRDefault="003261F3" w:rsidP="003261F3">
      <w:pPr>
        <w:pStyle w:val="Nagwek3"/>
        <w:spacing w:line="300" w:lineRule="auto"/>
        <w:jc w:val="center"/>
        <w:rPr>
          <w:rFonts w:asciiTheme="minorHAnsi" w:eastAsia="Times New Roman" w:hAnsiTheme="minorHAnsi" w:cstheme="minorHAnsi"/>
          <w:sz w:val="22"/>
          <w:szCs w:val="22"/>
        </w:rPr>
      </w:pPr>
      <w:r w:rsidRPr="005675E1">
        <w:rPr>
          <w:rFonts w:asciiTheme="minorHAnsi" w:eastAsia="Times New Roman" w:hAnsiTheme="minorHAnsi" w:cstheme="minorHAnsi"/>
          <w:sz w:val="22"/>
          <w:szCs w:val="22"/>
        </w:rPr>
        <w:t>KLAUZULA INFORMACYJNA DLA</w:t>
      </w:r>
      <w:r>
        <w:rPr>
          <w:rFonts w:asciiTheme="minorHAnsi" w:eastAsia="Times New Roman" w:hAnsiTheme="minorHAnsi" w:cstheme="minorHAnsi"/>
          <w:sz w:val="22"/>
          <w:szCs w:val="22"/>
        </w:rPr>
        <w:t xml:space="preserve"> </w:t>
      </w:r>
      <w:r w:rsidRPr="005675E1">
        <w:rPr>
          <w:rFonts w:asciiTheme="minorHAnsi" w:eastAsia="Times New Roman" w:hAnsiTheme="minorHAnsi" w:cstheme="minorHAnsi"/>
          <w:sz w:val="22"/>
          <w:szCs w:val="22"/>
        </w:rPr>
        <w:t xml:space="preserve">PRZEDSIĘBIORCÓW/PRACODAWCÓW, </w:t>
      </w:r>
      <w:r>
        <w:rPr>
          <w:rFonts w:asciiTheme="minorHAnsi" w:eastAsia="Times New Roman" w:hAnsiTheme="minorHAnsi" w:cstheme="minorHAnsi"/>
          <w:sz w:val="22"/>
          <w:szCs w:val="22"/>
        </w:rPr>
        <w:br/>
      </w:r>
      <w:r w:rsidRPr="005675E1">
        <w:rPr>
          <w:rFonts w:asciiTheme="minorHAnsi" w:eastAsia="Times New Roman" w:hAnsiTheme="minorHAnsi" w:cstheme="minorHAnsi"/>
          <w:sz w:val="22"/>
          <w:szCs w:val="22"/>
        </w:rPr>
        <w:t>INNYCH PODMIOTÓW, KORZYSTAJĄCYCH Z FORM POMOCY OKREŚLONYCH W USTAWIE O PROMOCJI ZATRUDNIENIA I INSTYTUCJACH RYNKU PRACY</w:t>
      </w:r>
    </w:p>
    <w:p w:rsidR="003261F3" w:rsidRPr="00554A8F" w:rsidRDefault="003261F3" w:rsidP="003261F3">
      <w:pPr>
        <w:pStyle w:val="Nagwek3"/>
        <w:spacing w:before="0" w:beforeAutospacing="0" w:after="0" w:afterAutospacing="0" w:line="300" w:lineRule="auto"/>
        <w:jc w:val="both"/>
        <w:rPr>
          <w:rFonts w:asciiTheme="minorHAnsi" w:eastAsia="Times New Roman" w:hAnsiTheme="minorHAnsi" w:cstheme="minorHAnsi"/>
          <w:sz w:val="22"/>
          <w:szCs w:val="22"/>
        </w:rPr>
      </w:pPr>
    </w:p>
    <w:p w:rsidR="006F7BB7" w:rsidRPr="00554A8F" w:rsidRDefault="006F7BB7" w:rsidP="006F7BB7">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6F7BB7" w:rsidRPr="00554A8F" w:rsidRDefault="006F7BB7" w:rsidP="006F7BB7">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Radzyniu Podlaskim</w:t>
      </w:r>
      <w:r w:rsidRPr="00554A8F">
        <w:rPr>
          <w:rFonts w:asciiTheme="minorHAnsi" w:hAnsiTheme="minorHAnsi" w:cstheme="minorHAnsi"/>
          <w:sz w:val="22"/>
          <w:szCs w:val="22"/>
        </w:rPr>
        <w:t xml:space="preserve"> przy ul.</w:t>
      </w:r>
      <w:r>
        <w:rPr>
          <w:rFonts w:asciiTheme="minorHAnsi" w:hAnsiTheme="minorHAnsi" w:cstheme="minorHAnsi"/>
          <w:sz w:val="22"/>
          <w:szCs w:val="22"/>
        </w:rPr>
        <w:t xml:space="preserve"> </w:t>
      </w:r>
      <w:proofErr w:type="spellStart"/>
      <w:r>
        <w:rPr>
          <w:rFonts w:asciiTheme="minorHAnsi" w:hAnsiTheme="minorHAnsi" w:cstheme="minorHAnsi"/>
          <w:sz w:val="22"/>
          <w:szCs w:val="22"/>
        </w:rPr>
        <w:t>Chomiczewskiego</w:t>
      </w:r>
      <w:proofErr w:type="spellEnd"/>
      <w:r>
        <w:rPr>
          <w:rFonts w:asciiTheme="minorHAnsi" w:hAnsiTheme="minorHAnsi" w:cstheme="minorHAnsi"/>
          <w:sz w:val="22"/>
          <w:szCs w:val="22"/>
        </w:rPr>
        <w:t xml:space="preserve"> 10,</w:t>
      </w:r>
      <w:r w:rsidRPr="00554A8F">
        <w:rPr>
          <w:rFonts w:asciiTheme="minorHAnsi" w:hAnsiTheme="minorHAnsi" w:cstheme="minorHAnsi"/>
          <w:sz w:val="22"/>
          <w:szCs w:val="22"/>
        </w:rPr>
        <w:t xml:space="preserve"> reprezentowany przez Dyrektora Urzędu. Może się Pan/Pani z nim skontaktować drogą elektroniczną na adres e-ma</w:t>
      </w:r>
      <w:r>
        <w:rPr>
          <w:rFonts w:asciiTheme="minorHAnsi" w:hAnsiTheme="minorHAnsi" w:cstheme="minorHAnsi"/>
          <w:sz w:val="22"/>
          <w:szCs w:val="22"/>
        </w:rPr>
        <w:t xml:space="preserve">il: </w:t>
      </w:r>
      <w:hyperlink r:id="rId5" w:history="1">
        <w:r w:rsidRPr="005611AE">
          <w:rPr>
            <w:rStyle w:val="Hipercze"/>
            <w:rFonts w:asciiTheme="minorHAnsi" w:hAnsiTheme="minorHAnsi" w:cstheme="minorHAnsi"/>
            <w:sz w:val="22"/>
            <w:szCs w:val="22"/>
          </w:rPr>
          <w:t>lura@praca.gov.pl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8</w:t>
      </w:r>
      <w:r>
        <w:rPr>
          <w:rFonts w:asciiTheme="minorHAnsi" w:hAnsiTheme="minorHAnsi" w:cstheme="minorHAnsi"/>
          <w:sz w:val="22"/>
          <w:szCs w:val="22"/>
        </w:rPr>
        <w:t>3</w:t>
      </w:r>
      <w:r w:rsidRPr="00D94F2B">
        <w:rPr>
          <w:rFonts w:asciiTheme="minorHAnsi" w:hAnsiTheme="minorHAnsi" w:cstheme="minorHAnsi"/>
          <w:sz w:val="22"/>
          <w:szCs w:val="22"/>
        </w:rPr>
        <w:t xml:space="preserve"> 3</w:t>
      </w:r>
      <w:r>
        <w:rPr>
          <w:rFonts w:asciiTheme="minorHAnsi" w:hAnsiTheme="minorHAnsi" w:cstheme="minorHAnsi"/>
          <w:sz w:val="22"/>
          <w:szCs w:val="22"/>
        </w:rPr>
        <w:t>52</w:t>
      </w:r>
      <w:r w:rsidRPr="00D94F2B">
        <w:rPr>
          <w:rFonts w:asciiTheme="minorHAnsi" w:hAnsiTheme="minorHAnsi" w:cstheme="minorHAnsi"/>
          <w:sz w:val="22"/>
          <w:szCs w:val="22"/>
        </w:rPr>
        <w:t>-</w:t>
      </w:r>
      <w:r>
        <w:rPr>
          <w:rFonts w:asciiTheme="minorHAnsi" w:hAnsiTheme="minorHAnsi" w:cstheme="minorHAnsi"/>
          <w:sz w:val="22"/>
          <w:szCs w:val="22"/>
        </w:rPr>
        <w:t>93</w:t>
      </w:r>
      <w:r w:rsidRPr="00D94F2B">
        <w:rPr>
          <w:rFonts w:asciiTheme="minorHAnsi" w:hAnsiTheme="minorHAnsi" w:cstheme="minorHAnsi"/>
          <w:sz w:val="22"/>
          <w:szCs w:val="22"/>
        </w:rPr>
        <w:t>-80,</w:t>
      </w:r>
      <w:r w:rsidRPr="00554A8F">
        <w:rPr>
          <w:rFonts w:asciiTheme="minorHAnsi" w:hAnsiTheme="minorHAnsi" w:cstheme="minorHAnsi"/>
          <w:sz w:val="22"/>
          <w:szCs w:val="22"/>
        </w:rPr>
        <w:t>lub tradycyjną pocztą na adres wskazany powyżej.</w:t>
      </w:r>
    </w:p>
    <w:p w:rsidR="006F7BB7" w:rsidRPr="00554A8F" w:rsidRDefault="006F7BB7" w:rsidP="006F7BB7">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6" w:history="1">
        <w:r w:rsidRPr="005611AE">
          <w:rPr>
            <w:rStyle w:val="Hipercze"/>
            <w:rFonts w:asciiTheme="minorHAnsi" w:hAnsiTheme="minorHAnsi" w:cstheme="minorHAnsi"/>
            <w:sz w:val="22"/>
            <w:szCs w:val="22"/>
          </w:rPr>
          <w:t>iod@radzynpodlaski.praca.gov.pl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6F7BB7" w:rsidRDefault="006F7BB7" w:rsidP="006F7BB7">
      <w:pPr>
        <w:pStyle w:val="NormalnyWeb"/>
        <w:numPr>
          <w:ilvl w:val="0"/>
          <w:numId w:val="4"/>
        </w:numPr>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6F7BB7" w:rsidRPr="00554A8F" w:rsidRDefault="006F7BB7" w:rsidP="006F7BB7">
      <w:pPr>
        <w:pStyle w:val="NormalnyWeb"/>
        <w:spacing w:before="0" w:beforeAutospacing="0" w:after="0" w:afterAutospacing="0" w:line="276" w:lineRule="auto"/>
        <w:ind w:left="284"/>
        <w:jc w:val="both"/>
        <w:rPr>
          <w:rFonts w:asciiTheme="minorHAnsi" w:hAnsiTheme="minorHAnsi" w:cstheme="minorHAnsi"/>
          <w:sz w:val="22"/>
          <w:szCs w:val="22"/>
        </w:rPr>
      </w:pPr>
    </w:p>
    <w:p w:rsidR="003261F3" w:rsidRPr="00554A8F" w:rsidRDefault="003261F3" w:rsidP="003261F3">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3261F3" w:rsidRPr="00554A8F" w:rsidTr="0099371B">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rsidR="003261F3" w:rsidRPr="00554A8F" w:rsidRDefault="003261F3" w:rsidP="0099371B">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rsidR="003261F3" w:rsidRPr="00554A8F"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3261F3" w:rsidRPr="00554A8F"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3261F3" w:rsidRPr="00554A8F" w:rsidTr="0099371B">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3261F3" w:rsidRPr="007A2C2F" w:rsidRDefault="003261F3" w:rsidP="00372D43">
            <w:pPr>
              <w:pStyle w:val="NormalnyWeb"/>
              <w:spacing w:before="0" w:beforeAutospacing="0" w:after="0" w:afterAutospacing="0" w:line="276" w:lineRule="auto"/>
              <w:ind w:left="157" w:right="240"/>
              <w:jc w:val="both"/>
              <w:rPr>
                <w:rFonts w:asciiTheme="minorHAnsi" w:hAnsiTheme="minorHAnsi" w:cstheme="minorHAnsi"/>
                <w:sz w:val="20"/>
                <w:szCs w:val="20"/>
              </w:rPr>
            </w:pPr>
            <w:r>
              <w:rPr>
                <w:rFonts w:asciiTheme="minorHAnsi" w:eastAsia="Calibri" w:hAnsiTheme="minorHAnsi" w:cstheme="minorHAnsi"/>
                <w:sz w:val="20"/>
                <w:szCs w:val="20"/>
                <w:lang w:eastAsia="en-US"/>
              </w:rPr>
              <w: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t>
            </w:r>
          </w:p>
        </w:tc>
        <w:tc>
          <w:tcPr>
            <w:tcW w:w="3402" w:type="dxa"/>
            <w:tcBorders>
              <w:top w:val="outset" w:sz="6" w:space="0" w:color="auto"/>
              <w:left w:val="outset" w:sz="6" w:space="0" w:color="auto"/>
              <w:bottom w:val="outset" w:sz="6" w:space="0" w:color="auto"/>
              <w:right w:val="outset" w:sz="6" w:space="0" w:color="auto"/>
            </w:tcBorders>
            <w:vAlign w:val="center"/>
          </w:tcPr>
          <w:p w:rsidR="003261F3" w:rsidRPr="004B6681" w:rsidRDefault="003261F3" w:rsidP="004B6681">
            <w:pPr>
              <w:pStyle w:val="Akapitzlist"/>
              <w:numPr>
                <w:ilvl w:val="0"/>
                <w:numId w:val="6"/>
              </w:numPr>
              <w:spacing w:line="276" w:lineRule="auto"/>
              <w:ind w:left="438" w:hanging="283"/>
              <w:rPr>
                <w:rFonts w:asciiTheme="minorHAnsi" w:eastAsia="Calibri" w:hAnsiTheme="minorHAnsi" w:cstheme="minorHAnsi"/>
                <w:sz w:val="20"/>
                <w:szCs w:val="20"/>
                <w:lang w:eastAsia="en-US"/>
              </w:rPr>
            </w:pPr>
            <w:r w:rsidRPr="004B6681">
              <w:rPr>
                <w:rFonts w:asciiTheme="minorHAnsi" w:eastAsia="Calibri" w:hAnsiTheme="minorHAnsi" w:cstheme="minorHAnsi"/>
                <w:sz w:val="20"/>
                <w:szCs w:val="20"/>
                <w:lang w:eastAsia="en-US"/>
              </w:rPr>
              <w:t>Ustawa z dnia 20 kwietnia 2004r. o promocji zatrudnienia i instytucjach rynku pracy oraz rozporządzenia do ustawy</w:t>
            </w:r>
          </w:p>
        </w:tc>
        <w:tc>
          <w:tcPr>
            <w:tcW w:w="2410" w:type="dxa"/>
            <w:tcBorders>
              <w:top w:val="outset" w:sz="6" w:space="0" w:color="auto"/>
              <w:left w:val="outset" w:sz="6" w:space="0" w:color="auto"/>
              <w:bottom w:val="outset" w:sz="6" w:space="0" w:color="auto"/>
              <w:right w:val="outset" w:sz="6" w:space="0" w:color="auto"/>
            </w:tcBorders>
          </w:tcPr>
          <w:p w:rsidR="003261F3" w:rsidRDefault="003261F3" w:rsidP="006F7BB7">
            <w:pPr>
              <w:pStyle w:val="NormalnyWeb"/>
              <w:spacing w:before="0" w:beforeAutospacing="0" w:after="0" w:afterAutospacing="0" w:line="276" w:lineRule="auto"/>
              <w:jc w:val="center"/>
              <w:rPr>
                <w:rFonts w:asciiTheme="minorHAnsi" w:hAnsiTheme="minorHAnsi" w:cstheme="minorHAnsi"/>
                <w:sz w:val="20"/>
                <w:szCs w:val="20"/>
              </w:rPr>
            </w:pPr>
          </w:p>
          <w:p w:rsidR="003261F3" w:rsidRDefault="003261F3" w:rsidP="006F7BB7">
            <w:pPr>
              <w:pStyle w:val="NormalnyWeb"/>
              <w:spacing w:before="0" w:beforeAutospacing="0" w:after="0" w:afterAutospacing="0" w:line="276" w:lineRule="auto"/>
              <w:jc w:val="center"/>
              <w:rPr>
                <w:rFonts w:asciiTheme="minorHAnsi" w:hAnsiTheme="minorHAnsi" w:cstheme="minorHAnsi"/>
                <w:sz w:val="20"/>
                <w:szCs w:val="20"/>
              </w:rPr>
            </w:pPr>
          </w:p>
          <w:p w:rsidR="003261F3" w:rsidRDefault="003261F3" w:rsidP="006F7BB7">
            <w:pPr>
              <w:pStyle w:val="NormalnyWeb"/>
              <w:spacing w:before="0" w:beforeAutospacing="0" w:after="0" w:afterAutospacing="0" w:line="276" w:lineRule="auto"/>
              <w:jc w:val="center"/>
              <w:rPr>
                <w:rFonts w:asciiTheme="minorHAnsi" w:hAnsiTheme="minorHAnsi" w:cstheme="minorHAnsi"/>
                <w:sz w:val="20"/>
                <w:szCs w:val="20"/>
              </w:rPr>
            </w:pPr>
          </w:p>
          <w:p w:rsidR="003261F3" w:rsidRDefault="003261F3" w:rsidP="006F7BB7">
            <w:pPr>
              <w:pStyle w:val="NormalnyWeb"/>
              <w:spacing w:before="0" w:beforeAutospacing="0" w:after="0" w:afterAutospacing="0" w:line="276" w:lineRule="auto"/>
              <w:jc w:val="center"/>
              <w:rPr>
                <w:rFonts w:asciiTheme="minorHAnsi" w:hAnsiTheme="minorHAnsi" w:cstheme="minorHAnsi"/>
                <w:sz w:val="20"/>
                <w:szCs w:val="20"/>
              </w:rPr>
            </w:pPr>
          </w:p>
          <w:p w:rsidR="003261F3" w:rsidRPr="007A2C2F" w:rsidRDefault="003261F3" w:rsidP="006F7BB7">
            <w:pPr>
              <w:pStyle w:val="NormalnyWeb"/>
              <w:spacing w:before="0" w:beforeAutospacing="0" w:after="0" w:afterAutospacing="0" w:line="276" w:lineRule="auto"/>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3261F3" w:rsidRPr="00554A8F" w:rsidTr="0099371B">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3261F3" w:rsidRPr="007A2C2F" w:rsidRDefault="003261F3" w:rsidP="00372D43">
            <w:pPr>
              <w:pStyle w:val="NormalnyWeb"/>
              <w:spacing w:before="0" w:beforeAutospacing="0" w:after="0" w:afterAutospacing="0" w:line="276" w:lineRule="auto"/>
              <w:ind w:left="157" w:right="240"/>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Zapewnienie bezpieczeństwa osób 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rsidR="003261F3" w:rsidRDefault="003261F3" w:rsidP="00505EAC">
            <w:pPr>
              <w:numPr>
                <w:ilvl w:val="0"/>
                <w:numId w:val="1"/>
              </w:numPr>
              <w:spacing w:line="276" w:lineRule="auto"/>
              <w:ind w:left="284" w:hanging="129"/>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p w:rsidR="003261F3" w:rsidRPr="009B4D19" w:rsidRDefault="003261F3" w:rsidP="00505EAC">
            <w:pPr>
              <w:numPr>
                <w:ilvl w:val="0"/>
                <w:numId w:val="1"/>
              </w:numPr>
              <w:spacing w:line="276" w:lineRule="auto"/>
              <w:ind w:left="284" w:hanging="129"/>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Ustawa z dnia 26 czerwca 1974r. Kodeks pracy</w:t>
            </w:r>
          </w:p>
        </w:tc>
        <w:tc>
          <w:tcPr>
            <w:tcW w:w="2410" w:type="dxa"/>
            <w:tcBorders>
              <w:top w:val="outset" w:sz="6" w:space="0" w:color="auto"/>
              <w:left w:val="outset" w:sz="6" w:space="0" w:color="auto"/>
              <w:bottom w:val="outset" w:sz="6" w:space="0" w:color="auto"/>
              <w:right w:val="outset" w:sz="6" w:space="0" w:color="auto"/>
            </w:tcBorders>
          </w:tcPr>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3261F3" w:rsidRDefault="003261F3" w:rsidP="0099371B">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rsidR="003261F3" w:rsidRPr="00554A8F" w:rsidRDefault="003261F3" w:rsidP="003261F3">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3261F3" w:rsidRPr="00554A8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3261F3" w:rsidRPr="00554A8F" w:rsidRDefault="003261F3" w:rsidP="003F37E1">
      <w:pPr>
        <w:numPr>
          <w:ilvl w:val="0"/>
          <w:numId w:val="2"/>
        </w:numPr>
        <w:spacing w:line="276" w:lineRule="auto"/>
        <w:ind w:left="426" w:hanging="142"/>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3261F3" w:rsidRPr="00554A8F" w:rsidRDefault="003261F3" w:rsidP="003F37E1">
      <w:pPr>
        <w:numPr>
          <w:ilvl w:val="0"/>
          <w:numId w:val="2"/>
        </w:numPr>
        <w:spacing w:line="276" w:lineRule="auto"/>
        <w:ind w:left="426" w:hanging="142"/>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3261F3" w:rsidRPr="00554A8F" w:rsidRDefault="003261F3" w:rsidP="003F37E1">
      <w:pPr>
        <w:numPr>
          <w:ilvl w:val="0"/>
          <w:numId w:val="2"/>
        </w:numPr>
        <w:spacing w:line="276" w:lineRule="auto"/>
        <w:ind w:left="426" w:hanging="142"/>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w:t>
      </w:r>
      <w:bookmarkStart w:id="0" w:name="_GoBack"/>
      <w:bookmarkEnd w:id="0"/>
      <w:r w:rsidRPr="00554A8F">
        <w:rPr>
          <w:rFonts w:asciiTheme="minorHAnsi" w:eastAsia="Times New Roman" w:hAnsiTheme="minorHAnsi" w:cstheme="minorHAnsi"/>
          <w:sz w:val="22"/>
          <w:szCs w:val="22"/>
        </w:rPr>
        <w:t xml:space="preserve">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3261F3" w:rsidRPr="00554A8F" w:rsidRDefault="003261F3" w:rsidP="003F37E1">
      <w:pPr>
        <w:numPr>
          <w:ilvl w:val="0"/>
          <w:numId w:val="2"/>
        </w:numPr>
        <w:spacing w:line="276" w:lineRule="auto"/>
        <w:ind w:left="426" w:hanging="142"/>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3261F3" w:rsidRPr="00554A8F" w:rsidRDefault="003261F3" w:rsidP="003F37E1">
      <w:pPr>
        <w:numPr>
          <w:ilvl w:val="0"/>
          <w:numId w:val="2"/>
        </w:numPr>
        <w:spacing w:line="276" w:lineRule="auto"/>
        <w:ind w:left="426" w:hanging="142"/>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3261F3" w:rsidRPr="00554A8F" w:rsidRDefault="003261F3" w:rsidP="003F37E1">
      <w:pPr>
        <w:numPr>
          <w:ilvl w:val="0"/>
          <w:numId w:val="2"/>
        </w:numPr>
        <w:spacing w:line="276" w:lineRule="auto"/>
        <w:ind w:left="426" w:hanging="142"/>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3261F3" w:rsidRPr="00554A8F" w:rsidRDefault="003261F3" w:rsidP="003F37E1">
      <w:pPr>
        <w:numPr>
          <w:ilvl w:val="0"/>
          <w:numId w:val="2"/>
        </w:numPr>
        <w:spacing w:line="276" w:lineRule="auto"/>
        <w:ind w:left="426" w:hanging="142"/>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3261F3" w:rsidRPr="00554A8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3261F3" w:rsidRPr="00C43DAB"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3261F3" w:rsidRPr="00AE6329"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Pr>
          <w:rFonts w:asciiTheme="minorHAnsi" w:hAnsiTheme="minorHAnsi" w:cstheme="minorHAnsi"/>
          <w:sz w:val="22"/>
          <w:szCs w:val="22"/>
        </w:rPr>
        <w:t>wnież w formie profilowania</w:t>
      </w:r>
      <w:r w:rsidRPr="00AE6329">
        <w:rPr>
          <w:rFonts w:asciiTheme="minorHAnsi" w:hAnsiTheme="minorHAnsi" w:cstheme="minorHAnsi"/>
          <w:sz w:val="22"/>
          <w:szCs w:val="22"/>
        </w:rPr>
        <w:t>.</w:t>
      </w:r>
    </w:p>
    <w:p w:rsidR="003261F3"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rsidR="003261F3" w:rsidRPr="006E015F" w:rsidRDefault="003261F3" w:rsidP="003261F3">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3261F3" w:rsidRPr="006E015F" w:rsidRDefault="003261F3" w:rsidP="003261F3">
      <w:pPr>
        <w:pStyle w:val="NormalnyWeb"/>
        <w:numPr>
          <w:ilvl w:val="0"/>
          <w:numId w:val="3"/>
        </w:numPr>
        <w:spacing w:line="276" w:lineRule="auto"/>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 np.: banki – w zakresie realizacji przelewów związanych z przyznanych świadczeń;</w:t>
      </w:r>
    </w:p>
    <w:p w:rsidR="003261F3" w:rsidRDefault="003261F3" w:rsidP="003261F3">
      <w:pPr>
        <w:pStyle w:val="NormalnyWeb"/>
        <w:numPr>
          <w:ilvl w:val="0"/>
          <w:numId w:val="3"/>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przechowującym archiwa zakładowe, Powiatowej Radzie Rynku Pracy</w:t>
      </w:r>
      <w:r w:rsidR="00372D43">
        <w:rPr>
          <w:rFonts w:asciiTheme="minorHAnsi" w:eastAsia="Times New Roman" w:hAnsiTheme="minorHAnsi" w:cstheme="minorHAnsi"/>
          <w:sz w:val="22"/>
          <w:szCs w:val="22"/>
        </w:rPr>
        <w:t>, C</w:t>
      </w:r>
      <w:r w:rsidR="000968E0">
        <w:rPr>
          <w:rFonts w:asciiTheme="minorHAnsi" w:eastAsia="Times New Roman" w:hAnsiTheme="minorHAnsi" w:cstheme="minorHAnsi"/>
          <w:sz w:val="22"/>
          <w:szCs w:val="22"/>
        </w:rPr>
        <w:t xml:space="preserve">entralna </w:t>
      </w:r>
      <w:r w:rsidR="00372D43">
        <w:rPr>
          <w:rFonts w:asciiTheme="minorHAnsi" w:eastAsia="Times New Roman" w:hAnsiTheme="minorHAnsi" w:cstheme="minorHAnsi"/>
          <w:sz w:val="22"/>
          <w:szCs w:val="22"/>
        </w:rPr>
        <w:t>B</w:t>
      </w:r>
      <w:r w:rsidR="000968E0">
        <w:rPr>
          <w:rFonts w:asciiTheme="minorHAnsi" w:eastAsia="Times New Roman" w:hAnsiTheme="minorHAnsi" w:cstheme="minorHAnsi"/>
          <w:sz w:val="22"/>
          <w:szCs w:val="22"/>
        </w:rPr>
        <w:t xml:space="preserve">aza </w:t>
      </w:r>
      <w:r w:rsidR="00372D43">
        <w:rPr>
          <w:rFonts w:asciiTheme="minorHAnsi" w:eastAsia="Times New Roman" w:hAnsiTheme="minorHAnsi" w:cstheme="minorHAnsi"/>
          <w:sz w:val="22"/>
          <w:szCs w:val="22"/>
        </w:rPr>
        <w:t>O</w:t>
      </w:r>
      <w:r w:rsidR="000968E0">
        <w:rPr>
          <w:rFonts w:asciiTheme="minorHAnsi" w:eastAsia="Times New Roman" w:hAnsiTheme="minorHAnsi" w:cstheme="minorHAnsi"/>
          <w:sz w:val="22"/>
          <w:szCs w:val="22"/>
        </w:rPr>
        <w:t xml:space="preserve">fert </w:t>
      </w:r>
      <w:r w:rsidR="00372D43">
        <w:rPr>
          <w:rFonts w:asciiTheme="minorHAnsi" w:eastAsia="Times New Roman" w:hAnsiTheme="minorHAnsi" w:cstheme="minorHAnsi"/>
          <w:sz w:val="22"/>
          <w:szCs w:val="22"/>
        </w:rPr>
        <w:t>P</w:t>
      </w:r>
      <w:r w:rsidR="000968E0">
        <w:rPr>
          <w:rFonts w:asciiTheme="minorHAnsi" w:eastAsia="Times New Roman" w:hAnsiTheme="minorHAnsi" w:cstheme="minorHAnsi"/>
          <w:sz w:val="22"/>
          <w:szCs w:val="22"/>
        </w:rPr>
        <w:t>racy</w:t>
      </w:r>
      <w:r w:rsidR="00372D43">
        <w:rPr>
          <w:rFonts w:asciiTheme="minorHAnsi" w:eastAsia="Times New Roman" w:hAnsiTheme="minorHAnsi" w:cstheme="minorHAnsi"/>
          <w:sz w:val="22"/>
          <w:szCs w:val="22"/>
        </w:rPr>
        <w:t xml:space="preserve">, </w:t>
      </w:r>
      <w:r w:rsidR="000968E0">
        <w:rPr>
          <w:rFonts w:asciiTheme="minorHAnsi" w:eastAsia="Times New Roman" w:hAnsiTheme="minorHAnsi" w:cstheme="minorHAnsi"/>
          <w:sz w:val="22"/>
          <w:szCs w:val="22"/>
        </w:rPr>
        <w:t>o</w:t>
      </w:r>
      <w:r w:rsidR="00372D43">
        <w:rPr>
          <w:rFonts w:asciiTheme="minorHAnsi" w:eastAsia="Times New Roman" w:hAnsiTheme="minorHAnsi" w:cstheme="minorHAnsi"/>
          <w:sz w:val="22"/>
          <w:szCs w:val="22"/>
        </w:rPr>
        <w:t>środk</w:t>
      </w:r>
      <w:r w:rsidR="000968E0">
        <w:rPr>
          <w:rFonts w:asciiTheme="minorHAnsi" w:eastAsia="Times New Roman" w:hAnsiTheme="minorHAnsi" w:cstheme="minorHAnsi"/>
          <w:sz w:val="22"/>
          <w:szCs w:val="22"/>
        </w:rPr>
        <w:t>om</w:t>
      </w:r>
      <w:r w:rsidR="00372D43">
        <w:rPr>
          <w:rFonts w:asciiTheme="minorHAnsi" w:eastAsia="Times New Roman" w:hAnsiTheme="minorHAnsi" w:cstheme="minorHAnsi"/>
          <w:sz w:val="22"/>
          <w:szCs w:val="22"/>
        </w:rPr>
        <w:t xml:space="preserve"> </w:t>
      </w:r>
      <w:r w:rsidR="000968E0">
        <w:rPr>
          <w:rFonts w:asciiTheme="minorHAnsi" w:eastAsia="Times New Roman" w:hAnsiTheme="minorHAnsi" w:cstheme="minorHAnsi"/>
          <w:sz w:val="22"/>
          <w:szCs w:val="22"/>
        </w:rPr>
        <w:t>p</w:t>
      </w:r>
      <w:r w:rsidR="00372D43">
        <w:rPr>
          <w:rFonts w:asciiTheme="minorHAnsi" w:eastAsia="Times New Roman" w:hAnsiTheme="minorHAnsi" w:cstheme="minorHAnsi"/>
          <w:sz w:val="22"/>
          <w:szCs w:val="22"/>
        </w:rPr>
        <w:t xml:space="preserve">omocy </w:t>
      </w:r>
      <w:r w:rsidR="000968E0">
        <w:rPr>
          <w:rFonts w:asciiTheme="minorHAnsi" w:eastAsia="Times New Roman" w:hAnsiTheme="minorHAnsi" w:cstheme="minorHAnsi"/>
          <w:sz w:val="22"/>
          <w:szCs w:val="22"/>
        </w:rPr>
        <w:t>s</w:t>
      </w:r>
      <w:r w:rsidR="00372D43">
        <w:rPr>
          <w:rFonts w:asciiTheme="minorHAnsi" w:eastAsia="Times New Roman" w:hAnsiTheme="minorHAnsi" w:cstheme="minorHAnsi"/>
          <w:sz w:val="22"/>
          <w:szCs w:val="22"/>
        </w:rPr>
        <w:t>połecznej, inn</w:t>
      </w:r>
      <w:r w:rsidR="00505EAC">
        <w:rPr>
          <w:rFonts w:asciiTheme="minorHAnsi" w:eastAsia="Times New Roman" w:hAnsiTheme="minorHAnsi" w:cstheme="minorHAnsi"/>
          <w:sz w:val="22"/>
          <w:szCs w:val="22"/>
        </w:rPr>
        <w:t>ym</w:t>
      </w:r>
      <w:r w:rsidR="00372D43">
        <w:rPr>
          <w:rFonts w:asciiTheme="minorHAnsi" w:eastAsia="Times New Roman" w:hAnsiTheme="minorHAnsi" w:cstheme="minorHAnsi"/>
          <w:sz w:val="22"/>
          <w:szCs w:val="22"/>
        </w:rPr>
        <w:t xml:space="preserve"> </w:t>
      </w:r>
      <w:r w:rsidR="00505EAC">
        <w:rPr>
          <w:rFonts w:asciiTheme="minorHAnsi" w:eastAsia="Times New Roman" w:hAnsiTheme="minorHAnsi" w:cstheme="minorHAnsi"/>
          <w:sz w:val="22"/>
          <w:szCs w:val="22"/>
        </w:rPr>
        <w:t xml:space="preserve">powiatowym </w:t>
      </w:r>
      <w:r w:rsidR="00372D43">
        <w:rPr>
          <w:rFonts w:asciiTheme="minorHAnsi" w:eastAsia="Times New Roman" w:hAnsiTheme="minorHAnsi" w:cstheme="minorHAnsi"/>
          <w:sz w:val="22"/>
          <w:szCs w:val="22"/>
        </w:rPr>
        <w:t>urzęd</w:t>
      </w:r>
      <w:r w:rsidR="00505EAC">
        <w:rPr>
          <w:rFonts w:asciiTheme="minorHAnsi" w:eastAsia="Times New Roman" w:hAnsiTheme="minorHAnsi" w:cstheme="minorHAnsi"/>
          <w:sz w:val="22"/>
          <w:szCs w:val="22"/>
        </w:rPr>
        <w:t>om</w:t>
      </w:r>
      <w:r w:rsidR="00372D43">
        <w:rPr>
          <w:rFonts w:asciiTheme="minorHAnsi" w:eastAsia="Times New Roman" w:hAnsiTheme="minorHAnsi" w:cstheme="minorHAnsi"/>
          <w:sz w:val="22"/>
          <w:szCs w:val="22"/>
        </w:rPr>
        <w:t xml:space="preserve"> pracy</w:t>
      </w:r>
      <w:r w:rsidRPr="006E015F">
        <w:rPr>
          <w:rFonts w:asciiTheme="minorHAnsi" w:eastAsia="Times New Roman" w:hAnsiTheme="minorHAnsi" w:cstheme="minorHAnsi"/>
          <w:sz w:val="22"/>
          <w:szCs w:val="22"/>
        </w:rPr>
        <w:t>;</w:t>
      </w:r>
    </w:p>
    <w:p w:rsidR="003261F3" w:rsidRDefault="003261F3" w:rsidP="003261F3">
      <w:pPr>
        <w:pStyle w:val="NormalnyWeb"/>
        <w:numPr>
          <w:ilvl w:val="0"/>
          <w:numId w:val="3"/>
        </w:numPr>
        <w:spacing w:line="276" w:lineRule="auto"/>
        <w:rPr>
          <w:rFonts w:asciiTheme="minorHAnsi" w:eastAsia="Times New Roman" w:hAnsiTheme="minorHAnsi" w:cstheme="minorHAnsi"/>
          <w:sz w:val="22"/>
          <w:szCs w:val="22"/>
        </w:rPr>
      </w:pPr>
      <w:r w:rsidRPr="005675E1">
        <w:rPr>
          <w:rFonts w:asciiTheme="minorHAnsi" w:eastAsia="Times New Roman" w:hAnsiTheme="minorHAnsi" w:cstheme="minorHAnsi"/>
          <w:sz w:val="22"/>
          <w:szCs w:val="22"/>
        </w:rPr>
        <w:t>innym odbiorcom danych z którymi zawarto umowy powierzenia danych;</w:t>
      </w:r>
    </w:p>
    <w:p w:rsidR="008B76F4" w:rsidRDefault="008B76F4"/>
    <w:sectPr w:rsidR="008B76F4" w:rsidSect="00505EAC">
      <w:pgSz w:w="11906" w:h="16838"/>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616"/>
    <w:multiLevelType w:val="hybridMultilevel"/>
    <w:tmpl w:val="8912E31E"/>
    <w:lvl w:ilvl="0" w:tplc="B8FC1508">
      <w:start w:val="1"/>
      <w:numFmt w:val="decimal"/>
      <w:lvlText w:val="%1)"/>
      <w:lvlJc w:val="center"/>
      <w:pPr>
        <w:ind w:left="426" w:hanging="360"/>
      </w:pPr>
      <w:rPr>
        <w:rFonts w:asciiTheme="minorHAnsi" w:eastAsia="Times New Roman" w:hAnsiTheme="minorHAnsi" w:cstheme="minorHAns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195449"/>
    <w:multiLevelType w:val="multilevel"/>
    <w:tmpl w:val="91F8816C"/>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tabs>
          <w:tab w:val="num" w:pos="1364"/>
        </w:tabs>
        <w:ind w:left="1364" w:hanging="360"/>
      </w:pPr>
      <w:rPr>
        <w:rFonts w:ascii="Symbol" w:hAnsi="Symbol" w:hint="default"/>
        <w:sz w:val="20"/>
      </w:rPr>
    </w:lvl>
    <w:lvl w:ilvl="2">
      <w:start w:val="1"/>
      <w:numFmt w:val="bullet"/>
      <w:lvlText w:val=""/>
      <w:lvlJc w:val="left"/>
      <w:pPr>
        <w:tabs>
          <w:tab w:val="num" w:pos="2084"/>
        </w:tabs>
        <w:ind w:left="2084" w:hanging="360"/>
      </w:pPr>
      <w:rPr>
        <w:rFonts w:ascii="Symbol" w:hAnsi="Symbol" w:hint="default"/>
        <w:sz w:val="20"/>
      </w:rPr>
    </w:lvl>
    <w:lvl w:ilvl="3">
      <w:start w:val="1"/>
      <w:numFmt w:val="bullet"/>
      <w:lvlText w:val=""/>
      <w:lvlJc w:val="left"/>
      <w:pPr>
        <w:tabs>
          <w:tab w:val="num" w:pos="2804"/>
        </w:tabs>
        <w:ind w:left="2804" w:hanging="360"/>
      </w:pPr>
      <w:rPr>
        <w:rFonts w:ascii="Symbol" w:hAnsi="Symbol" w:hint="default"/>
        <w:sz w:val="20"/>
      </w:rPr>
    </w:lvl>
    <w:lvl w:ilvl="4">
      <w:start w:val="1"/>
      <w:numFmt w:val="bullet"/>
      <w:lvlText w:val=""/>
      <w:lvlJc w:val="left"/>
      <w:pPr>
        <w:tabs>
          <w:tab w:val="num" w:pos="3524"/>
        </w:tabs>
        <w:ind w:left="3524" w:hanging="360"/>
      </w:pPr>
      <w:rPr>
        <w:rFonts w:ascii="Symbol" w:hAnsi="Symbol" w:hint="default"/>
        <w:sz w:val="20"/>
      </w:rPr>
    </w:lvl>
    <w:lvl w:ilvl="5">
      <w:start w:val="1"/>
      <w:numFmt w:val="bullet"/>
      <w:lvlText w:val=""/>
      <w:lvlJc w:val="left"/>
      <w:pPr>
        <w:tabs>
          <w:tab w:val="num" w:pos="4244"/>
        </w:tabs>
        <w:ind w:left="4244" w:hanging="360"/>
      </w:pPr>
      <w:rPr>
        <w:rFonts w:ascii="Symbol" w:hAnsi="Symbol" w:hint="default"/>
        <w:sz w:val="20"/>
      </w:rPr>
    </w:lvl>
    <w:lvl w:ilvl="6">
      <w:start w:val="1"/>
      <w:numFmt w:val="bullet"/>
      <w:lvlText w:val=""/>
      <w:lvlJc w:val="left"/>
      <w:pPr>
        <w:tabs>
          <w:tab w:val="num" w:pos="4964"/>
        </w:tabs>
        <w:ind w:left="4964" w:hanging="360"/>
      </w:pPr>
      <w:rPr>
        <w:rFonts w:ascii="Symbol" w:hAnsi="Symbol" w:hint="default"/>
        <w:sz w:val="20"/>
      </w:rPr>
    </w:lvl>
    <w:lvl w:ilvl="7">
      <w:start w:val="1"/>
      <w:numFmt w:val="bullet"/>
      <w:lvlText w:val=""/>
      <w:lvlJc w:val="left"/>
      <w:pPr>
        <w:tabs>
          <w:tab w:val="num" w:pos="5684"/>
        </w:tabs>
        <w:ind w:left="5684" w:hanging="360"/>
      </w:pPr>
      <w:rPr>
        <w:rFonts w:ascii="Symbol" w:hAnsi="Symbol" w:hint="default"/>
        <w:sz w:val="20"/>
      </w:rPr>
    </w:lvl>
    <w:lvl w:ilvl="8">
      <w:start w:val="1"/>
      <w:numFmt w:val="bullet"/>
      <w:lvlText w:val=""/>
      <w:lvlJc w:val="left"/>
      <w:pPr>
        <w:tabs>
          <w:tab w:val="num" w:pos="6404"/>
        </w:tabs>
        <w:ind w:left="6404" w:hanging="360"/>
      </w:pPr>
      <w:rPr>
        <w:rFonts w:ascii="Symbol" w:hAnsi="Symbol" w:hint="default"/>
        <w:sz w:val="20"/>
      </w:rPr>
    </w:lvl>
  </w:abstractNum>
  <w:abstractNum w:abstractNumId="3" w15:restartNumberingAfterBreak="0">
    <w:nsid w:val="576A569E"/>
    <w:multiLevelType w:val="hybridMultilevel"/>
    <w:tmpl w:val="8326C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3F4004"/>
    <w:multiLevelType w:val="hybridMultilevel"/>
    <w:tmpl w:val="05583C7A"/>
    <w:lvl w:ilvl="0" w:tplc="5E56A13C">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1F3"/>
    <w:rsid w:val="000968E0"/>
    <w:rsid w:val="00284B27"/>
    <w:rsid w:val="003261F3"/>
    <w:rsid w:val="00372D43"/>
    <w:rsid w:val="003F37E1"/>
    <w:rsid w:val="004B6681"/>
    <w:rsid w:val="00505EAC"/>
    <w:rsid w:val="006F7BB7"/>
    <w:rsid w:val="008B76F4"/>
    <w:rsid w:val="00FF71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D1569-2A2D-49E2-988D-138E7AF0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61F3"/>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3261F3"/>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261F3"/>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3261F3"/>
    <w:pPr>
      <w:spacing w:before="100" w:beforeAutospacing="1" w:after="100" w:afterAutospacing="1"/>
    </w:pPr>
  </w:style>
  <w:style w:type="character" w:styleId="Pogrubienie">
    <w:name w:val="Strong"/>
    <w:basedOn w:val="Domylnaczcionkaakapitu"/>
    <w:uiPriority w:val="22"/>
    <w:qFormat/>
    <w:rsid w:val="003261F3"/>
    <w:rPr>
      <w:b/>
      <w:bCs/>
    </w:rPr>
  </w:style>
  <w:style w:type="character" w:styleId="Hipercze">
    <w:name w:val="Hyperlink"/>
    <w:basedOn w:val="Domylnaczcionkaakapitu"/>
    <w:uiPriority w:val="99"/>
    <w:unhideWhenUsed/>
    <w:rsid w:val="003261F3"/>
    <w:rPr>
      <w:color w:val="0000FF" w:themeColor="hyperlink"/>
      <w:u w:val="single"/>
    </w:rPr>
  </w:style>
  <w:style w:type="paragraph" w:styleId="Tekstdymka">
    <w:name w:val="Balloon Text"/>
    <w:basedOn w:val="Normalny"/>
    <w:link w:val="TekstdymkaZnak"/>
    <w:uiPriority w:val="99"/>
    <w:semiHidden/>
    <w:unhideWhenUsed/>
    <w:rsid w:val="003261F3"/>
    <w:rPr>
      <w:rFonts w:ascii="Tahoma" w:hAnsi="Tahoma" w:cs="Tahoma"/>
      <w:sz w:val="16"/>
      <w:szCs w:val="16"/>
    </w:rPr>
  </w:style>
  <w:style w:type="character" w:customStyle="1" w:styleId="TekstdymkaZnak">
    <w:name w:val="Tekst dymka Znak"/>
    <w:basedOn w:val="Domylnaczcionkaakapitu"/>
    <w:link w:val="Tekstdymka"/>
    <w:uiPriority w:val="99"/>
    <w:semiHidden/>
    <w:rsid w:val="003261F3"/>
    <w:rPr>
      <w:rFonts w:ascii="Tahoma" w:hAnsi="Tahoma" w:cs="Tahoma"/>
      <w:color w:val="000000"/>
      <w:sz w:val="16"/>
      <w:szCs w:val="16"/>
      <w:lang w:eastAsia="pl-PL"/>
    </w:rPr>
  </w:style>
  <w:style w:type="paragraph" w:styleId="Akapitzlist">
    <w:name w:val="List Paragraph"/>
    <w:basedOn w:val="Normalny"/>
    <w:uiPriority w:val="34"/>
    <w:qFormat/>
    <w:rsid w:val="006F7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dzynpodlaski.praca.gov.pl" TargetMode="External"/><Relationship Id="rId5" Type="http://schemas.openxmlformats.org/officeDocument/2006/relationships/hyperlink" Target="mailto:lura@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817</Words>
  <Characters>4907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Agnieszka Fręchowicz</cp:lastModifiedBy>
  <cp:revision>7</cp:revision>
  <cp:lastPrinted>2018-09-21T11:01:00Z</cp:lastPrinted>
  <dcterms:created xsi:type="dcterms:W3CDTF">2018-07-30T10:44:00Z</dcterms:created>
  <dcterms:modified xsi:type="dcterms:W3CDTF">2018-10-01T09:41:00Z</dcterms:modified>
</cp:coreProperties>
</file>